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pos="7845"/>
        </w:tabs>
        <w:jc w:val="center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pos="7845"/>
        </w:tabs>
        <w:jc w:val="center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pos="7845"/>
        </w:tabs>
        <w:jc w:val="center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МЕТОДИКА ЗА ОЦЕНКА НА ОФЕРТИТЕ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pos="7845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5">
      <w:pPr>
        <w:tabs>
          <w:tab w:val="left" w:pos="7845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Пласт Комерс – 93 ООД ще прилага критерий за оценка на офертите „икономически най-изгодна цена“, при класиране на допуснатите до участие предложения в процедура за избор на изпълнител с публична покана с предмет: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“Доставка на специализиранa производствена линия за иновативен профил от рециклирано PVC”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Оценката на офертите по настоящата процедура ще се извърши въз основа на следните показатели:</w:t>
      </w:r>
    </w:p>
    <w:p w:rsidR="00000000" w:rsidDel="00000000" w:rsidP="00000000" w:rsidRDefault="00000000" w:rsidRPr="00000000" w14:paraId="00000009">
      <w:pPr>
        <w:ind w:left="360" w:firstLine="349.00000000000006"/>
        <w:jc w:val="both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360" w:firstLine="349.00000000000006"/>
        <w:jc w:val="both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Таблица № 1:</w:t>
      </w:r>
      <w:r w:rsidDel="00000000" w:rsidR="00000000" w:rsidRPr="00000000">
        <w:rPr>
          <w:rtl w:val="0"/>
        </w:rPr>
      </w:r>
    </w:p>
    <w:tbl>
      <w:tblPr>
        <w:tblStyle w:val="Table1"/>
        <w:tblW w:w="8754.0" w:type="dxa"/>
        <w:jc w:val="left"/>
        <w:tblInd w:w="1.9999999999999858" w:type="dxa"/>
        <w:tblLayout w:type="fixed"/>
        <w:tblLook w:val="0000"/>
      </w:tblPr>
      <w:tblGrid>
        <w:gridCol w:w="4080"/>
        <w:gridCol w:w="1440"/>
        <w:gridCol w:w="1440"/>
        <w:gridCol w:w="1794"/>
        <w:tblGridChange w:id="0">
          <w:tblGrid>
            <w:gridCol w:w="4080"/>
            <w:gridCol w:w="1440"/>
            <w:gridCol w:w="1440"/>
            <w:gridCol w:w="1794"/>
          </w:tblGrid>
        </w:tblGridChange>
      </w:tblGrid>
      <w:tr>
        <w:trPr>
          <w:cantSplit w:val="0"/>
          <w:trHeight w:val="7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ffffff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B">
            <w:pPr>
              <w:ind w:left="357" w:firstLine="352"/>
              <w:jc w:val="both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Показател - П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ind w:left="357" w:firstLine="352"/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(наименование)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Относително тегло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Максимално възможен брой точки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Символно обозначение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(точките по показателя)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1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1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1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1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15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1. Предложена цена – П1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30% (0,30)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spacing w:line="360" w:lineRule="auto"/>
              <w:ind w:left="360" w:firstLine="349.00000000000006"/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Тц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19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2. Сервизно обслужване – П2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20 % (0,20)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C">
            <w:pPr>
              <w:spacing w:line="360" w:lineRule="auto"/>
              <w:ind w:left="360" w:firstLine="349.00000000000006"/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Тс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1D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3. Гаранционни условия – П3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20 % (0,20)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0">
            <w:pPr>
              <w:spacing w:line="360" w:lineRule="auto"/>
              <w:ind w:left="360" w:firstLine="349.00000000000006"/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Тг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4. Допълнителни техн. характеристики и екстри извън минималните изисквания – П4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30% (0,30)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4">
            <w:pPr>
              <w:spacing w:line="360" w:lineRule="auto"/>
              <w:ind w:left="360" w:firstLine="349.00000000000006"/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Те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Показател № 1: „Предложена цена” (Тц) –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с максимален брой точки 100 и относителна тежест в комплексната оценка 0,30. </w:t>
      </w:r>
    </w:p>
    <w:p w:rsidR="00000000" w:rsidDel="00000000" w:rsidP="00000000" w:rsidRDefault="00000000" w:rsidRPr="00000000" w14:paraId="00000027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Максималният брой точки – 100 точки получава офертата с предложена най-ниска обща цена. Точките на останалите участници се определят в съотношение към най-ниската предложена цена по следната формула:</w:t>
      </w:r>
    </w:p>
    <w:p w:rsidR="00000000" w:rsidDel="00000000" w:rsidP="00000000" w:rsidRDefault="00000000" w:rsidRPr="00000000" w14:paraId="00000029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i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                           Ц min</w:t>
      </w:r>
    </w:p>
    <w:p w:rsidR="00000000" w:rsidDel="00000000" w:rsidP="00000000" w:rsidRDefault="00000000" w:rsidRPr="00000000" w14:paraId="0000002B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 Тц  = 100  х  ----------,  </w:t>
      </w:r>
    </w:p>
    <w:p w:rsidR="00000000" w:rsidDel="00000000" w:rsidP="00000000" w:rsidRDefault="00000000" w:rsidRPr="00000000" w14:paraId="0000002C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                            Цn</w:t>
      </w:r>
    </w:p>
    <w:p w:rsidR="00000000" w:rsidDel="00000000" w:rsidP="00000000" w:rsidRDefault="00000000" w:rsidRPr="00000000" w14:paraId="0000002D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където:</w:t>
      </w:r>
    </w:p>
    <w:p w:rsidR="00000000" w:rsidDel="00000000" w:rsidP="00000000" w:rsidRDefault="00000000" w:rsidRPr="00000000" w14:paraId="0000002E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“100” – максималните точки по критерия (Тц);</w:t>
      </w:r>
    </w:p>
    <w:p w:rsidR="00000000" w:rsidDel="00000000" w:rsidP="00000000" w:rsidRDefault="00000000" w:rsidRPr="00000000" w14:paraId="0000002F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Ц min – е най-ниската предложена цена от участник; </w:t>
      </w:r>
    </w:p>
    <w:p w:rsidR="00000000" w:rsidDel="00000000" w:rsidP="00000000" w:rsidRDefault="00000000" w:rsidRPr="00000000" w14:paraId="00000030">
      <w:pPr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Цn – цената, предложена от конкретния участник по критерия (Тц);</w:t>
      </w:r>
    </w:p>
    <w:p w:rsidR="00000000" w:rsidDel="00000000" w:rsidP="00000000" w:rsidRDefault="00000000" w:rsidRPr="00000000" w14:paraId="00000031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360" w:lineRule="auto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Точките по първия показател на всеки от участниците в процедурата  се получават по следната формула:</w:t>
      </w:r>
    </w:p>
    <w:p w:rsidR="00000000" w:rsidDel="00000000" w:rsidP="00000000" w:rsidRDefault="00000000" w:rsidRPr="00000000" w14:paraId="00000033">
      <w:pPr>
        <w:spacing w:line="360" w:lineRule="auto"/>
        <w:ind w:left="720" w:firstLine="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 1 = Тц  х Q1, където:</w:t>
      </w:r>
    </w:p>
    <w:p w:rsidR="00000000" w:rsidDel="00000000" w:rsidP="00000000" w:rsidRDefault="00000000" w:rsidRPr="00000000" w14:paraId="00000034">
      <w:pPr>
        <w:ind w:left="720" w:firstLine="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Q1 = 0,30 е относителната тежест на показателя.</w:t>
      </w:r>
    </w:p>
    <w:p w:rsidR="00000000" w:rsidDel="00000000" w:rsidP="00000000" w:rsidRDefault="00000000" w:rsidRPr="00000000" w14:paraId="00000035">
      <w:pPr>
        <w:spacing w:line="360" w:lineRule="auto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Показател № 2: „Сервизно обслужване” (Тс)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– с максимален брой точки 100 и относителна тежест в комплексната оценка 0,20. </w:t>
      </w:r>
    </w:p>
    <w:p w:rsidR="00000000" w:rsidDel="00000000" w:rsidP="00000000" w:rsidRDefault="00000000" w:rsidRPr="00000000" w14:paraId="00000037">
      <w:pPr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Максималният брой точки – 100 точки получава офертата с предложени най-добри условия по отношение на сервизното обслужване, като точките по показателя за всяка оферта се изчисляват като сума от точките по начина, посочен в таблица № 2. На оценка по показателя подлежат само оферти, покриващи поставените в документацията минимални изисквания.</w:t>
      </w:r>
    </w:p>
    <w:p w:rsidR="00000000" w:rsidDel="00000000" w:rsidP="00000000" w:rsidRDefault="00000000" w:rsidRPr="00000000" w14:paraId="00000039">
      <w:pPr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Таблица 2:</w:t>
      </w:r>
    </w:p>
    <w:tbl>
      <w:tblPr>
        <w:tblStyle w:val="Table2"/>
        <w:tblW w:w="8905.0" w:type="dxa"/>
        <w:jc w:val="left"/>
        <w:tblInd w:w="1.9999999999999858" w:type="dxa"/>
        <w:tblLayout w:type="fixed"/>
        <w:tblLook w:val="0000"/>
      </w:tblPr>
      <w:tblGrid>
        <w:gridCol w:w="3269"/>
        <w:gridCol w:w="2400"/>
        <w:gridCol w:w="1399"/>
        <w:gridCol w:w="1837"/>
        <w:tblGridChange w:id="0">
          <w:tblGrid>
            <w:gridCol w:w="3269"/>
            <w:gridCol w:w="2400"/>
            <w:gridCol w:w="1399"/>
            <w:gridCol w:w="1837"/>
          </w:tblGrid>
        </w:tblGridChange>
      </w:tblGrid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ind w:left="360" w:hanging="180"/>
              <w:jc w:val="center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Сервизно обслужване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3C">
            <w:pPr>
              <w:ind w:left="360" w:hanging="180"/>
              <w:jc w:val="center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Оценка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ind w:left="360" w:hanging="180"/>
              <w:jc w:val="center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Точки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3F">
            <w:pPr>
              <w:ind w:left="360" w:hanging="180"/>
              <w:jc w:val="center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40">
            <w:pPr>
              <w:ind w:left="360" w:hanging="180"/>
              <w:jc w:val="center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2">
            <w:pPr>
              <w:ind w:left="360" w:hanging="180"/>
              <w:jc w:val="center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43">
            <w:pPr>
              <w:ind w:left="360" w:firstLine="349.00000000000006"/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1"/>
              </w:numPr>
              <w:ind w:left="450" w:hanging="450"/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Време за реакция – Тс1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(включва времето за посещение на място и констатиране на повредата в производствената сграда на компанията в гр. Берковица)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До 4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7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50 точки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50 точки</w:t>
            </w:r>
          </w:p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(максимален брой за критерия</w:t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Тс1)</w:t>
            </w:r>
          </w:p>
          <w:p w:rsidR="00000000" w:rsidDel="00000000" w:rsidP="00000000" w:rsidRDefault="00000000" w:rsidRPr="00000000" w14:paraId="0000004B">
            <w:pPr>
              <w:ind w:left="360" w:firstLine="349.00000000000006"/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D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Над 4 до 8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E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40 точки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1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над 8 до 12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2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30 точки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5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над 12 до 24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6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20 точки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9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над 24 до 48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A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10 точки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ind w:left="450" w:hanging="450"/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Време за отстраняване на повреда – Тс2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D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до 8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E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50 точки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50 точки</w:t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(максимален брой за критерия</w:t>
            </w:r>
          </w:p>
          <w:p w:rsidR="00000000" w:rsidDel="00000000" w:rsidP="00000000" w:rsidRDefault="00000000" w:rsidRPr="00000000" w14:paraId="00000061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Тс2)</w:t>
            </w:r>
          </w:p>
          <w:p w:rsidR="00000000" w:rsidDel="00000000" w:rsidP="00000000" w:rsidRDefault="00000000" w:rsidRPr="00000000" w14:paraId="00000062">
            <w:pPr>
              <w:ind w:left="360" w:firstLine="349.00000000000006"/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4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над 8 до 24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5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40 точки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над 24 до 48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30 точки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над 48 до 72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D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20 точки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0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над 72 до 168 часа вкл.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1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10 точки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fffff" w:val="clear"/>
            <w:vAlign w:val="top"/>
          </w:tcPr>
          <w:p w:rsidR="00000000" w:rsidDel="00000000" w:rsidP="00000000" w:rsidRDefault="00000000" w:rsidRPr="00000000" w14:paraId="00000073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Максимално възможни точки по показател  </w:t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“Сервизно обслужване” – Тс = Тс1 + Тс2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7">
            <w:pPr>
              <w:ind w:left="360" w:firstLine="0"/>
              <w:jc w:val="both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100 точки</w:t>
            </w:r>
          </w:p>
        </w:tc>
      </w:tr>
    </w:tbl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Точките по втория показател на всеки от участниците в процедурата  се получават по следната формула:</w:t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 2 = Тс  х Q2, където:</w:t>
      </w:r>
    </w:p>
    <w:p w:rsidR="00000000" w:rsidDel="00000000" w:rsidP="00000000" w:rsidRDefault="00000000" w:rsidRPr="00000000" w14:paraId="0000007B">
      <w:pPr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Q2 = 0,20 е относителната тежест на показателя.</w:t>
      </w:r>
    </w:p>
    <w:p w:rsidR="00000000" w:rsidDel="00000000" w:rsidP="00000000" w:rsidRDefault="00000000" w:rsidRPr="00000000" w14:paraId="0000007C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360" w:lineRule="auto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Показател № 3: „Гаранционни условия” (Тг) –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с максимален брой точки 100 и относителна тежест в комплексната оценка 0,20. </w:t>
      </w:r>
    </w:p>
    <w:p w:rsidR="00000000" w:rsidDel="00000000" w:rsidP="00000000" w:rsidRDefault="00000000" w:rsidRPr="00000000" w14:paraId="0000007E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Максималният брой точки – 100 точки - получава офертата с предложен най-дълъг гаранционен срок, но не по-малко от 12 (дванадесет) месеца и не повече от 36 (тридесет и шест) месеца. На оценка по показателя подлежат само оферти, покриващи поставените в документацията минимални изисквания.</w:t>
      </w:r>
    </w:p>
    <w:p w:rsidR="00000000" w:rsidDel="00000000" w:rsidP="00000000" w:rsidRDefault="00000000" w:rsidRPr="00000000" w14:paraId="0000007F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Точките на останалите участници се определят в съотношение към предложения най-дълъг гаранционен срок по следната формула:</w:t>
      </w:r>
    </w:p>
    <w:p w:rsidR="00000000" w:rsidDel="00000000" w:rsidP="00000000" w:rsidRDefault="00000000" w:rsidRPr="00000000" w14:paraId="00000080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                            Гn</w:t>
      </w:r>
    </w:p>
    <w:p w:rsidR="00000000" w:rsidDel="00000000" w:rsidP="00000000" w:rsidRDefault="00000000" w:rsidRPr="00000000" w14:paraId="00000081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 Тг  = 100  х  ----------,  </w:t>
      </w:r>
    </w:p>
    <w:p w:rsidR="00000000" w:rsidDel="00000000" w:rsidP="00000000" w:rsidRDefault="00000000" w:rsidRPr="00000000" w14:paraId="00000082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                          Гmах</w:t>
      </w:r>
    </w:p>
    <w:p w:rsidR="00000000" w:rsidDel="00000000" w:rsidP="00000000" w:rsidRDefault="00000000" w:rsidRPr="00000000" w14:paraId="00000083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където:</w:t>
      </w:r>
    </w:p>
    <w:p w:rsidR="00000000" w:rsidDel="00000000" w:rsidP="00000000" w:rsidRDefault="00000000" w:rsidRPr="00000000" w14:paraId="00000084">
      <w:pPr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“100” – максималните точки по критерия (Тг);</w:t>
      </w:r>
    </w:p>
    <w:p w:rsidR="00000000" w:rsidDel="00000000" w:rsidP="00000000" w:rsidRDefault="00000000" w:rsidRPr="00000000" w14:paraId="00000085">
      <w:pPr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Гmах – е най-дългия предложен от участник гаранционен срок; </w:t>
      </w:r>
    </w:p>
    <w:p w:rsidR="00000000" w:rsidDel="00000000" w:rsidP="00000000" w:rsidRDefault="00000000" w:rsidRPr="00000000" w14:paraId="00000086">
      <w:pPr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Гn – гаранционния срок, предложен от участника; </w:t>
      </w:r>
    </w:p>
    <w:p w:rsidR="00000000" w:rsidDel="00000000" w:rsidP="00000000" w:rsidRDefault="00000000" w:rsidRPr="00000000" w14:paraId="00000087">
      <w:pPr>
        <w:spacing w:line="360" w:lineRule="auto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Точките по третия показател на всеки от участниците в процедурата се получават по следната формула:</w:t>
      </w:r>
    </w:p>
    <w:p w:rsidR="00000000" w:rsidDel="00000000" w:rsidP="00000000" w:rsidRDefault="00000000" w:rsidRPr="00000000" w14:paraId="00000088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П3 = Тг  х Q3, където:</w:t>
      </w:r>
    </w:p>
    <w:p w:rsidR="00000000" w:rsidDel="00000000" w:rsidP="00000000" w:rsidRDefault="00000000" w:rsidRPr="00000000" w14:paraId="00000089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Q3 = 0,20 е относителната тежест на показателя.</w:t>
      </w:r>
    </w:p>
    <w:p w:rsidR="00000000" w:rsidDel="00000000" w:rsidP="00000000" w:rsidRDefault="00000000" w:rsidRPr="00000000" w14:paraId="0000008A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Показател № 4: „Допълнителни техн. характеристики и екстри извън минималните изисквания“ (Те) –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с максимален брой точки 100 и относителна тежест в комплексната оценка 0,30. </w:t>
      </w:r>
    </w:p>
    <w:p w:rsidR="00000000" w:rsidDel="00000000" w:rsidP="00000000" w:rsidRDefault="00000000" w:rsidRPr="00000000" w14:paraId="0000008C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</w:r>
    </w:p>
    <w:p w:rsidR="00000000" w:rsidDel="00000000" w:rsidP="00000000" w:rsidRDefault="00000000" w:rsidRPr="00000000" w14:paraId="0000008D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Най-голям брой точки получава офертата с предложен най-голям брой екстри извън посочените в техническото задание по следните таблици, като всяка допълнителна екстра се равнява на 10 точки, но не повече от максималните 100:</w:t>
      </w:r>
    </w:p>
    <w:p w:rsidR="00000000" w:rsidDel="00000000" w:rsidP="00000000" w:rsidRDefault="00000000" w:rsidRPr="00000000" w14:paraId="0000008E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ind w:left="360" w:firstLine="349.00000000000006"/>
        <w:jc w:val="both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880.0" w:type="dxa"/>
        <w:jc w:val="left"/>
        <w:tblInd w:w="0.0" w:type="dxa"/>
        <w:tblLayout w:type="fixed"/>
        <w:tblLook w:val="0000"/>
      </w:tblPr>
      <w:tblGrid>
        <w:gridCol w:w="720"/>
        <w:gridCol w:w="7320"/>
        <w:gridCol w:w="840"/>
        <w:tblGridChange w:id="0">
          <w:tblGrid>
            <w:gridCol w:w="720"/>
            <w:gridCol w:w="7320"/>
            <w:gridCol w:w="840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№ по ред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Допълнителни техн. характеристики и екстри извън минималните изисквания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брой точки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tabs>
                <w:tab w:val="left" w:pos="6.0000000000000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Максимална скорост на шнека: 35 rpm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Наличие на шнекове и цилиндри от азотирана стомана с повишена износоустойчивост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Наличие на дегазационна зона с вакуумна помпа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Наличие на управление посредством сензорен екран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180"/>
              </w:tabs>
              <w:jc w:val="both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Наличие на калибрационна маса с налични минумум 2 вакуум помпи по мин 4 kw и задвижване с ел. мотор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180"/>
              </w:tabs>
              <w:jc w:val="both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Наличие на изтеглящо устройство с максимална скорост на изтегляне 10 м/мин и широчина на захващаща лента не по- малко от 200 мм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180"/>
              </w:tabs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Наличие на режещо устройство със синхронизрана работа чрез серво мотор  и система за изсмукване на прах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Наличие на накланяща се маса с пневматичен цилиндър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Специализирани инструменти, произведени от неръждаема стомана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cs="Times New Roman" w:eastAsia="Times New Roman" w:hAnsi="Times New Roman"/>
                <w:highlight w:val="yellow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Наличие на охлаждане с атомизирана вода на праховата мелница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10</w:t>
            </w:r>
          </w:p>
        </w:tc>
      </w:tr>
    </w:tbl>
    <w:p w:rsidR="00000000" w:rsidDel="00000000" w:rsidP="00000000" w:rsidRDefault="00000000" w:rsidRPr="00000000" w14:paraId="000000B1">
      <w:pPr>
        <w:ind w:left="360" w:firstLine="349.00000000000006"/>
        <w:jc w:val="both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ind w:firstLine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line="360" w:lineRule="auto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Точките по четвъртия показател на всеки от участниците в процедурата се получават по следната формула:</w:t>
      </w:r>
    </w:p>
    <w:p w:rsidR="00000000" w:rsidDel="00000000" w:rsidP="00000000" w:rsidRDefault="00000000" w:rsidRPr="00000000" w14:paraId="000000B4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 4 = Те  х Q4, където:</w:t>
      </w:r>
    </w:p>
    <w:p w:rsidR="00000000" w:rsidDel="00000000" w:rsidP="00000000" w:rsidRDefault="00000000" w:rsidRPr="00000000" w14:paraId="000000B5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Q4 = 0,30 е относителната тежест на показателя.</w:t>
      </w:r>
    </w:p>
    <w:p w:rsidR="00000000" w:rsidDel="00000000" w:rsidP="00000000" w:rsidRDefault="00000000" w:rsidRPr="00000000" w14:paraId="000000B6">
      <w:pPr>
        <w:ind w:left="360" w:firstLine="349.00000000000006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jc w:val="both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Комплексната оценка (КО)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на всеки участник се получава, като сума от оценките на офертата по четирите показателя, изчислени по формулата: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line="360" w:lineRule="auto"/>
        <w:ind w:left="360" w:firstLine="349.00000000000006"/>
        <w:jc w:val="both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КО = П 1 + П 2 + П 3 + П4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Оценката се закръглява с точност до два знака след десетичната запетая (0.00).</w:t>
      </w:r>
    </w:p>
    <w:p w:rsidR="00000000" w:rsidDel="00000000" w:rsidP="00000000" w:rsidRDefault="00000000" w:rsidRPr="00000000" w14:paraId="000000BB">
      <w:pPr>
        <w:spacing w:line="360" w:lineRule="auto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Офертата, получила най-висока комплексна оценка, се класира на първо място.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7" w:orient="portrait"/>
      <w:pgMar w:bottom="899" w:top="540" w:left="1560" w:right="1134" w:header="301" w:footer="58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  <w:font w:name="HebarU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3">
    <w:pPr>
      <w:spacing w:before="5" w:line="242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19"/>
        <w:szCs w:val="19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4">
    <w:pPr>
      <w:spacing w:before="5" w:line="242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19"/>
        <w:szCs w:val="19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vertAlign w:val="baseline"/>
        <w:rtl w:val="0"/>
      </w:rPr>
      <w:t xml:space="preserve">Договор № 2020/551735 се реализира с финансовата подкрепа на Норвежкия финансов механизъм 2014-2021,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5">
    <w:pPr>
      <w:spacing w:before="5" w:line="242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19"/>
        <w:szCs w:val="19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vertAlign w:val="baseline"/>
        <w:rtl w:val="0"/>
      </w:rPr>
      <w:t xml:space="preserve">в рамките на програма “Развитие на бизнеса, иновации и МСП в България”.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6">
    <w:pPr>
      <w:spacing w:before="5" w:line="242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19"/>
        <w:szCs w:val="19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vertAlign w:val="baseline"/>
        <w:rtl w:val="0"/>
      </w:rPr>
      <w:t xml:space="preserve">Contract № 2020/551735 is s</w:t>
    </w:r>
    <w:r w:rsidDel="00000000" w:rsidR="00000000" w:rsidRPr="00000000">
      <w:rPr>
        <w:rFonts w:ascii="Times New Roman" w:cs="Times New Roman" w:eastAsia="Times New Roman" w:hAnsi="Times New Roman"/>
        <w:i w:val="1"/>
        <w:color w:val="000000"/>
        <w:sz w:val="19"/>
        <w:szCs w:val="19"/>
        <w:vertAlign w:val="baseline"/>
        <w:rtl w:val="0"/>
      </w:rPr>
      <w:t xml:space="preserve">upported by the Norway Grants 2014-2021, in the frame of the Business Programme Bulgaria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26" w:right="25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9">
    <w:pPr>
      <w:spacing w:before="5" w:line="242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19"/>
        <w:szCs w:val="19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A">
    <w:pPr>
      <w:spacing w:before="5" w:line="242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19"/>
        <w:szCs w:val="19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vertAlign w:val="baseline"/>
        <w:rtl w:val="0"/>
      </w:rPr>
      <w:t xml:space="preserve">Договор № 2020/551735 се реализира с финансовата подкрепа на Норвежкия финансов механизъм 2014-2021,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B">
    <w:pPr>
      <w:spacing w:before="5" w:line="242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19"/>
        <w:szCs w:val="19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vertAlign w:val="baseline"/>
        <w:rtl w:val="0"/>
      </w:rPr>
      <w:t xml:space="preserve">в рамките на програма “Развитие на бизнеса, иновации и МСП в България”.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C">
    <w:pPr>
      <w:spacing w:before="5" w:line="242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19"/>
        <w:szCs w:val="19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vertAlign w:val="baseline"/>
        <w:rtl w:val="0"/>
      </w:rPr>
      <w:t xml:space="preserve">Contract № 2020/551735 is s</w:t>
    </w:r>
    <w:r w:rsidDel="00000000" w:rsidR="00000000" w:rsidRPr="00000000">
      <w:rPr>
        <w:rFonts w:ascii="Times New Roman" w:cs="Times New Roman" w:eastAsia="Times New Roman" w:hAnsi="Times New Roman"/>
        <w:i w:val="1"/>
        <w:color w:val="000000"/>
        <w:sz w:val="19"/>
        <w:szCs w:val="19"/>
        <w:vertAlign w:val="baseline"/>
        <w:rtl w:val="0"/>
      </w:rPr>
      <w:t xml:space="preserve">upported by the Norway Grants 2014-2021, in the frame of the Business Programme Bulgaria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righ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36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center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E">
    <w:pPr>
      <w:pBdr>
        <w:bottom w:color="000000" w:space="1" w:sz="6" w:val="single"/>
      </w:pBdr>
      <w:tabs>
        <w:tab w:val="left" w:pos="3080"/>
      </w:tabs>
      <w:rPr>
        <w:vertAlign w:val="baseline"/>
      </w:rPr>
    </w:pPr>
    <w:r w:rsidDel="00000000" w:rsidR="00000000" w:rsidRPr="00000000">
      <w:rPr>
        <w:vertAlign w:val="baseline"/>
        <w:rtl w:val="0"/>
      </w:rPr>
      <w:tab/>
    </w:r>
  </w:p>
  <w:p w:rsidR="00000000" w:rsidDel="00000000" w:rsidP="00000000" w:rsidRDefault="00000000" w:rsidRPr="00000000" w14:paraId="000000BF">
    <w:pPr>
      <w:pBdr>
        <w:bottom w:color="000000" w:space="1" w:sz="6" w:val="single"/>
      </w:pBdr>
      <w:tabs>
        <w:tab w:val="left" w:pos="435"/>
        <w:tab w:val="center" w:pos="4536"/>
        <w:tab w:val="center" w:pos="7285"/>
        <w:tab w:val="right" w:pos="9072"/>
      </w:tabs>
      <w:rPr>
        <w:vertAlign w:val="baseline"/>
      </w:rPr>
    </w:pPr>
    <w:r w:rsidDel="00000000" w:rsidR="00000000" w:rsidRPr="00000000">
      <w:rPr>
        <w:vertAlign w:val="baseline"/>
      </w:rPr>
      <w:drawing>
        <wp:inline distB="0" distT="0" distL="114300" distR="114300">
          <wp:extent cx="1441450" cy="889000"/>
          <wp:effectExtent b="0" l="0" r="0" t="0"/>
          <wp:docPr id="102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41450" cy="889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vertAlign w:val="baseline"/>
        <w:rtl w:val="0"/>
      </w:rPr>
      <w:t xml:space="preserve">               </w:t>
    </w:r>
    <w:r w:rsidDel="00000000" w:rsidR="00000000" w:rsidRPr="00000000">
      <w:rPr>
        <w:rFonts w:ascii="Calibri" w:cs="Calibri" w:eastAsia="Calibri" w:hAnsi="Calibri"/>
        <w:vertAlign w:val="baseline"/>
        <w:rtl w:val="0"/>
      </w:rPr>
      <w:tab/>
      <w:tab/>
    </w:r>
    <w:r w:rsidDel="00000000" w:rsidR="00000000" w:rsidRPr="00000000">
      <w:rPr>
        <w:vertAlign w:val="baseline"/>
      </w:rPr>
      <w:drawing>
        <wp:inline distB="0" distT="0" distL="114300" distR="114300">
          <wp:extent cx="1619250" cy="742950"/>
          <wp:effectExtent b="0" l="0" r="0" t="0"/>
          <wp:docPr id="103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19250" cy="7429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vertAlign w:val="baseline"/>
        <w:rtl w:val="0"/>
      </w:rPr>
      <w:t xml:space="preserve">               </w: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center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1441450" cy="889000"/>
          <wp:effectExtent b="0" l="0" r="0" t="0"/>
          <wp:docPr id="103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41450" cy="889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1619250" cy="742950"/>
          <wp:effectExtent b="0" l="0" r="0" t="0"/>
          <wp:docPr id="103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19250" cy="7429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barU" w:cs="HebarU" w:eastAsia="HebarU" w:hAnsi="HebarU"/>
        <w:sz w:val="24"/>
        <w:szCs w:val="24"/>
        <w:lang w:val="bg-BG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bidi="ar-SA" w:eastAsia="en-US" w:val="bg-BG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bg-BG" w:val="bg-BG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Arial" w:cs="Arial" w:hAnsi="Arial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bg-BG" w:val="bg-BG"/>
    </w:rPr>
  </w:style>
  <w:style w:type="paragraph" w:styleId="Heading7">
    <w:name w:val="Heading 7"/>
    <w:basedOn w:val="Normal"/>
    <w:next w:val="Normal"/>
    <w:autoRedefine w:val="0"/>
    <w:hidden w:val="0"/>
    <w:qFormat w:val="0"/>
    <w:pPr>
      <w:keepNext w:val="1"/>
      <w:pBdr>
        <w:bottom w:color="auto" w:space="1" w:sz="6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6"/>
    </w:pPr>
    <w:rPr>
      <w:rFonts w:ascii="Times New Roman" w:hAnsi="Times New Roman"/>
      <w:b w:val="1"/>
      <w:spacing w:val="300"/>
      <w:w w:val="100"/>
      <w:kern w:val="144"/>
      <w:position w:val="-1"/>
      <w:sz w:val="28"/>
      <w:effect w:val="none"/>
      <w:vertAlign w:val="baseline"/>
      <w:cs w:val="0"/>
      <w:em w:val="none"/>
      <w:lang w:bidi="ar-SA" w:eastAsia="en-US" w:val="bg-BG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bidi="ar-SA" w:eastAsia="en-US" w:val="und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bidi="ar-SA" w:eastAsia="en-US" w:val="bg-BG"/>
    </w:rPr>
  </w:style>
  <w:style w:type="paragraph" w:styleId="Caption">
    <w:name w:val="Caption"/>
    <w:basedOn w:val="Normal"/>
    <w:next w:val="Normal"/>
    <w:autoRedefine w:val="0"/>
    <w:hidden w:val="0"/>
    <w:qFormat w:val="0"/>
    <w:pPr>
      <w:suppressAutoHyphens w:val="1"/>
      <w:spacing w:after="20" w:before="2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hAnsi="Times New Roman"/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en-US" w:val="bg-BG"/>
    </w:rPr>
  </w:style>
  <w:style w:type="character" w:styleId="PageNumber">
    <w:name w:val="Page Number"/>
    <w:basedOn w:val="DefaultParagraphFont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CharCharЗнакЗнакCharЗнакЗнакCharCharCharЗнакЗнакChar">
    <w:name w:val="Char Char Знак Знак Char Знак Знак Char Char Char Знак Знак Char"/>
    <w:basedOn w:val="Normal"/>
    <w:next w:val="CharCharЗнакЗнакCharЗнакЗнакCharCharCharЗнакЗнакChar"/>
    <w:autoRedefine w:val="0"/>
    <w:hidden w:val="0"/>
    <w:qFormat w:val="0"/>
    <w:pPr>
      <w:tabs>
        <w:tab w:val="left" w:leader="none" w:pos="709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nomark">
    <w:name w:val="nomark"/>
    <w:basedOn w:val="DefaultParagraphFont"/>
    <w:next w:val="nomar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har">
    <w:name w:val="Char"/>
    <w:basedOn w:val="Normal"/>
    <w:next w:val="Char"/>
    <w:autoRedefine w:val="0"/>
    <w:hidden w:val="0"/>
    <w:qFormat w:val="0"/>
    <w:pPr>
      <w:tabs>
        <w:tab w:val="left" w:leader="none" w:pos="709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Futura Bk" w:hAnsi="Futura Bk"/>
      <w:noProof w:val="1"/>
      <w:w w:val="100"/>
      <w:position w:val="-1"/>
      <w:sz w:val="20"/>
      <w:szCs w:val="24"/>
      <w:effect w:val="none"/>
      <w:vertAlign w:val="baseline"/>
      <w:cs w:val="0"/>
      <w:em w:val="none"/>
      <w:lang w:bidi="ar-SA" w:eastAsia="und" w:val="und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bg-BG"/>
    </w:rPr>
  </w:style>
  <w:style w:type="paragraph" w:styleId="FootnoteText">
    <w:name w:val="Footnote Text"/>
    <w:basedOn w:val="Normal"/>
    <w:next w:val="Footnote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w w:val="100"/>
      <w:position w:val="-1"/>
      <w:sz w:val="20"/>
      <w:effect w:val="none"/>
      <w:vertAlign w:val="baseline"/>
      <w:cs w:val="0"/>
      <w:em w:val="none"/>
      <w:lang w:bidi="ar-SA" w:eastAsia="bg-BG" w:val="bg-BG"/>
    </w:rPr>
  </w:style>
  <w:style w:type="character" w:styleId="FootnoteReference">
    <w:name w:val="Footnote Reference"/>
    <w:next w:val="FootnoteReference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paragraph" w:styleId="BodyTextIndent">
    <w:name w:val="Body Text Indent"/>
    <w:basedOn w:val="Normal"/>
    <w:next w:val="BodyTextIndent"/>
    <w:autoRedefine w:val="0"/>
    <w:hidden w:val="0"/>
    <w:qFormat w:val="0"/>
    <w:pPr>
      <w:suppressAutoHyphens w:val="1"/>
      <w:spacing w:after="120" w:line="1" w:lineRule="atLeast"/>
      <w:ind w:left="360" w:leftChars="-1" w:rightChars="0" w:firstLineChars="-1"/>
      <w:textDirection w:val="btLr"/>
      <w:textAlignment w:val="top"/>
      <w:outlineLvl w:val="0"/>
    </w:pPr>
    <w:rPr>
      <w:rFonts w:ascii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bg-BG" w:val="bg-BG"/>
    </w:rPr>
  </w:style>
  <w:style w:type="character" w:styleId="CommentReference">
    <w:name w:val="Comment Reference"/>
    <w:next w:val="CommentReference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0"/>
      <w:effect w:val="none"/>
      <w:vertAlign w:val="baseline"/>
      <w:cs w:val="0"/>
      <w:em w:val="none"/>
      <w:lang w:bidi="ar-SA" w:eastAsia="en-US" w:val="bg-BG"/>
    </w:rPr>
  </w:style>
  <w:style w:type="paragraph" w:styleId="CommentSubject">
    <w:name w:val="Comment Subject"/>
    <w:basedOn w:val="CommentText"/>
    <w:next w:val="Comment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b w:val="1"/>
      <w:bCs w:val="1"/>
      <w:w w:val="100"/>
      <w:position w:val="-1"/>
      <w:sz w:val="20"/>
      <w:effect w:val="none"/>
      <w:vertAlign w:val="baseline"/>
      <w:cs w:val="0"/>
      <w:em w:val="none"/>
      <w:lang w:bidi="ar-SA" w:eastAsia="en-US" w:val="bg-BG"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HeaderChar">
    <w:name w:val="Header Char"/>
    <w:next w:val="HeaderChar"/>
    <w:autoRedefine w:val="0"/>
    <w:hidden w:val="0"/>
    <w:qFormat w:val="0"/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eastAsia="en-US"/>
    </w:rPr>
  </w:style>
  <w:style w:type="character" w:styleId="FooterChar">
    <w:name w:val="Footer Char"/>
    <w:next w:val="FooterChar"/>
    <w:autoRedefine w:val="0"/>
    <w:hidden w:val="0"/>
    <w:qFormat w:val="0"/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val="bg-BG"/>
    </w:rPr>
  </w:style>
  <w:style w:type="character" w:styleId="filled-value">
    <w:name w:val="filled-value"/>
    <w:next w:val="filled-valu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HTMLPreformatted">
    <w:name w:val="HTML Preformatted"/>
    <w:basedOn w:val="Normal"/>
    <w:next w:val="HTMLPreformatted"/>
    <w:autoRedefine w:val="0"/>
    <w:hidden w:val="0"/>
    <w:qFormat w:val="1"/>
    <w:pPr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ourier New" w:cs="Courier New" w:hAnsi="Courier New"/>
      <w:w w:val="100"/>
      <w:position w:val="-1"/>
      <w:sz w:val="20"/>
      <w:effect w:val="none"/>
      <w:vertAlign w:val="baseline"/>
      <w:cs w:val="0"/>
      <w:em w:val="none"/>
      <w:lang w:bidi="ar-SA" w:eastAsia="en-US" w:val="en-US"/>
    </w:rPr>
  </w:style>
  <w:style w:type="character" w:styleId="HTMLPreformattedChar">
    <w:name w:val="HTML Preformatted Char"/>
    <w:next w:val="HTMLPreformatted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12" Type="http://schemas.openxmlformats.org/officeDocument/2006/relationships/footer" Target="footer3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L1MGAt1Yac2CXP80Wb+p37IVgQ==">AMUW2mXdrxkd+SxuCR0X0U3icsZT9QROUWfQ3ox+7ywFtoKFxYiAJ391PJ21Rr79I+viI0l0xweJmp3zfTD5Xe1kytOFeODrNYHnlUXtOCIpNzOVv6KTmIs=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2016-07-21T13:37:00Z</dcterms:created>
  <dc:creator>a.toteva</dc:creator>
</cp:coreProperties>
</file>